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51" w:rsidRDefault="001A4D51" w:rsidP="001A4D51">
      <w:pPr>
        <w:jc w:val="center"/>
        <w:rPr>
          <w:rFonts w:asciiTheme="minorBidi" w:hAnsiTheme="minorBidi"/>
          <w:b/>
          <w:bCs/>
          <w:sz w:val="24"/>
          <w:szCs w:val="24"/>
          <w:rtl/>
        </w:rPr>
      </w:pPr>
      <w:r w:rsidRPr="009B33C5">
        <w:rPr>
          <w:rFonts w:asciiTheme="minorBidi" w:hAnsiTheme="minorBidi" w:cs="Arial"/>
          <w:b/>
          <w:bCs/>
          <w:noProof/>
          <w:sz w:val="24"/>
          <w:szCs w:val="24"/>
          <w:rtl/>
        </w:rPr>
        <w:drawing>
          <wp:inline distT="0" distB="0" distL="0" distR="0">
            <wp:extent cx="3387969" cy="534943"/>
            <wp:effectExtent l="0" t="0" r="3175" b="0"/>
            <wp:docPr id="1" name="תמונה 1" descr="C:\Users\אורטל\Desktop\מכון\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אורטל\Desktop\מכון\לוגו.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5228" cy="534510"/>
                    </a:xfrm>
                    <a:prstGeom prst="rect">
                      <a:avLst/>
                    </a:prstGeom>
                    <a:noFill/>
                    <a:ln>
                      <a:noFill/>
                    </a:ln>
                  </pic:spPr>
                </pic:pic>
              </a:graphicData>
            </a:graphic>
          </wp:inline>
        </w:drawing>
      </w:r>
    </w:p>
    <w:p w:rsidR="001A4D51" w:rsidRPr="001A4D51" w:rsidRDefault="001A4D51" w:rsidP="001A4D51">
      <w:pPr>
        <w:jc w:val="center"/>
        <w:rPr>
          <w:rFonts w:asciiTheme="minorBidi" w:hAnsiTheme="minorBidi"/>
          <w:b/>
          <w:bCs/>
          <w:sz w:val="24"/>
          <w:szCs w:val="24"/>
          <w:rtl/>
        </w:rPr>
      </w:pPr>
      <w:r w:rsidRPr="001A4D51">
        <w:rPr>
          <w:rFonts w:asciiTheme="minorBidi" w:hAnsiTheme="minorBidi" w:hint="cs"/>
          <w:b/>
          <w:bCs/>
          <w:sz w:val="24"/>
          <w:szCs w:val="24"/>
          <w:rtl/>
        </w:rPr>
        <w:t xml:space="preserve">יום עיון על הגישה </w:t>
      </w:r>
      <w:proofErr w:type="spellStart"/>
      <w:r w:rsidRPr="001A4D51">
        <w:rPr>
          <w:rFonts w:asciiTheme="minorBidi" w:hAnsiTheme="minorBidi" w:hint="cs"/>
          <w:b/>
          <w:bCs/>
          <w:sz w:val="24"/>
          <w:szCs w:val="24"/>
          <w:rtl/>
        </w:rPr>
        <w:t>הדיאלוגית</w:t>
      </w:r>
      <w:proofErr w:type="spellEnd"/>
      <w:r w:rsidRPr="001A4D51">
        <w:rPr>
          <w:rFonts w:asciiTheme="minorBidi" w:hAnsiTheme="minorBidi" w:hint="cs"/>
          <w:b/>
          <w:bCs/>
          <w:sz w:val="24"/>
          <w:szCs w:val="24"/>
          <w:rtl/>
        </w:rPr>
        <w:t xml:space="preserve"> יהודית של </w:t>
      </w:r>
      <w:proofErr w:type="spellStart"/>
      <w:r w:rsidRPr="001A4D51">
        <w:rPr>
          <w:rFonts w:asciiTheme="minorBidi" w:hAnsiTheme="minorBidi" w:hint="cs"/>
          <w:b/>
          <w:bCs/>
          <w:sz w:val="24"/>
          <w:szCs w:val="24"/>
          <w:rtl/>
        </w:rPr>
        <w:t>פרופ</w:t>
      </w:r>
      <w:proofErr w:type="spellEnd"/>
      <w:r w:rsidRPr="001A4D51">
        <w:rPr>
          <w:rFonts w:asciiTheme="minorBidi" w:hAnsiTheme="minorBidi" w:hint="cs"/>
          <w:b/>
          <w:bCs/>
          <w:sz w:val="24"/>
          <w:szCs w:val="24"/>
          <w:rtl/>
        </w:rPr>
        <w:t xml:space="preserve"> רוטנברג</w:t>
      </w:r>
    </w:p>
    <w:p w:rsidR="00F4621D" w:rsidRPr="003878EF" w:rsidRDefault="001A4D51" w:rsidP="001A4D51">
      <w:pPr>
        <w:jc w:val="center"/>
        <w:rPr>
          <w:rFonts w:asciiTheme="minorBidi" w:hAnsiTheme="minorBidi"/>
          <w:b/>
          <w:bCs/>
          <w:sz w:val="40"/>
          <w:szCs w:val="40"/>
          <w:u w:val="single"/>
          <w:rtl/>
        </w:rPr>
      </w:pPr>
      <w:bookmarkStart w:id="0" w:name="_GoBack"/>
      <w:r w:rsidRPr="003878EF">
        <w:rPr>
          <w:rFonts w:asciiTheme="minorBidi" w:hAnsiTheme="minorBidi" w:hint="cs"/>
          <w:b/>
          <w:bCs/>
          <w:sz w:val="40"/>
          <w:szCs w:val="40"/>
          <w:u w:val="single"/>
          <w:rtl/>
        </w:rPr>
        <w:t xml:space="preserve">האח והאחר: </w:t>
      </w:r>
      <w:r w:rsidRPr="003878EF">
        <w:rPr>
          <w:rFonts w:asciiTheme="minorBidi" w:hAnsiTheme="minorBidi" w:hint="cs"/>
          <w:sz w:val="40"/>
          <w:szCs w:val="40"/>
          <w:u w:val="single"/>
          <w:rtl/>
        </w:rPr>
        <w:t>דיאלוג עם האחר ע"פ גישת הצמצום</w:t>
      </w:r>
    </w:p>
    <w:bookmarkEnd w:id="0"/>
    <w:p w:rsidR="001A4D51" w:rsidRPr="001A4D51" w:rsidRDefault="001A4D51" w:rsidP="001A4D51">
      <w:pPr>
        <w:jc w:val="both"/>
        <w:rPr>
          <w:sz w:val="24"/>
          <w:szCs w:val="24"/>
          <w:rtl/>
        </w:rPr>
      </w:pPr>
      <w:r w:rsidRPr="001A4D51">
        <w:rPr>
          <w:rFonts w:hint="cs"/>
          <w:b/>
          <w:bCs/>
          <w:sz w:val="24"/>
          <w:szCs w:val="24"/>
          <w:u w:val="single"/>
          <w:rtl/>
        </w:rPr>
        <w:t>צמצום</w:t>
      </w:r>
      <w:r w:rsidRPr="001A4D51">
        <w:rPr>
          <w:rFonts w:hint="cs"/>
          <w:b/>
          <w:bCs/>
          <w:sz w:val="24"/>
          <w:szCs w:val="24"/>
          <w:rtl/>
        </w:rPr>
        <w:t>:</w:t>
      </w:r>
      <w:r w:rsidRPr="001A4D51">
        <w:rPr>
          <w:rFonts w:hint="cs"/>
          <w:sz w:val="24"/>
          <w:szCs w:val="24"/>
          <w:rtl/>
        </w:rPr>
        <w:t xml:space="preserve"> נכונותה של הישות לצמצם את עצמה כדי לפנות מקום לזולת. (ברור שהצמצום פירושו וויתור מסוים על שאיפת ההתפשטות, אבל לא מדובר בוויתור מוחלט, שהרי הישות המצטמצמת אינה נמחקת אלא מפנה מקום לזולת  ע"מ שתוכל להתגלות אליו, כך שבכל זאת יש כאן התגלות והתפשטות). נכונות זו של הישות להצטמצם היא הבסיס לחשיבה </w:t>
      </w:r>
      <w:proofErr w:type="spellStart"/>
      <w:r w:rsidRPr="001A4D51">
        <w:rPr>
          <w:rFonts w:hint="cs"/>
          <w:sz w:val="24"/>
          <w:szCs w:val="24"/>
          <w:rtl/>
        </w:rPr>
        <w:t>הדיאלוגית</w:t>
      </w:r>
      <w:proofErr w:type="spellEnd"/>
      <w:r w:rsidRPr="001A4D51">
        <w:rPr>
          <w:rFonts w:hint="cs"/>
          <w:sz w:val="24"/>
          <w:szCs w:val="24"/>
          <w:rtl/>
        </w:rPr>
        <w:t xml:space="preserve">, היכולה להוות תשתית לתהליכי תיקון חברתיים ואישיים, אך כדי להסביר את משמעותה של </w:t>
      </w:r>
      <w:proofErr w:type="spellStart"/>
      <w:r w:rsidRPr="001A4D51">
        <w:rPr>
          <w:rFonts w:hint="cs"/>
          <w:sz w:val="24"/>
          <w:szCs w:val="24"/>
          <w:rtl/>
        </w:rPr>
        <w:t>הדיאלוגיההצמצומית</w:t>
      </w:r>
      <w:proofErr w:type="spellEnd"/>
      <w:r w:rsidRPr="001A4D51">
        <w:rPr>
          <w:rFonts w:hint="cs"/>
          <w:sz w:val="24"/>
          <w:szCs w:val="24"/>
          <w:rtl/>
        </w:rPr>
        <w:t xml:space="preserve"> יש להבהיר קודם את מושגי השבירה והדיאלקטיקה.</w:t>
      </w:r>
    </w:p>
    <w:p w:rsidR="001A4D51" w:rsidRPr="001A4D51" w:rsidRDefault="001A4D51" w:rsidP="001A4D51">
      <w:pPr>
        <w:rPr>
          <w:i/>
          <w:iCs/>
          <w:sz w:val="24"/>
          <w:szCs w:val="24"/>
          <w:u w:val="single"/>
          <w:rtl/>
        </w:rPr>
      </w:pPr>
      <w:r w:rsidRPr="001A4D51">
        <w:rPr>
          <w:rFonts w:hint="cs"/>
          <w:i/>
          <w:iCs/>
          <w:sz w:val="24"/>
          <w:szCs w:val="24"/>
          <w:rtl/>
        </w:rPr>
        <w:t>פסיכולוגיה יהודית וחסידות: עמ' 24-29; קיום בסוד הצמצום עמ' 34.</w:t>
      </w:r>
    </w:p>
    <w:p w:rsidR="001A4D51" w:rsidRPr="001A4D51" w:rsidRDefault="001A4D51" w:rsidP="001A4D51">
      <w:pPr>
        <w:jc w:val="both"/>
        <w:rPr>
          <w:sz w:val="24"/>
          <w:szCs w:val="24"/>
          <w:rtl/>
        </w:rPr>
      </w:pPr>
      <w:r w:rsidRPr="001A4D51">
        <w:rPr>
          <w:rFonts w:hint="cs"/>
          <w:b/>
          <w:bCs/>
          <w:sz w:val="24"/>
          <w:szCs w:val="24"/>
          <w:u w:val="single"/>
          <w:rtl/>
        </w:rPr>
        <w:t>רב תגיות לעומת חד תגיות</w:t>
      </w:r>
      <w:r w:rsidRPr="001A4D51">
        <w:rPr>
          <w:rFonts w:hint="cs"/>
          <w:b/>
          <w:bCs/>
          <w:sz w:val="24"/>
          <w:szCs w:val="24"/>
          <w:rtl/>
        </w:rPr>
        <w:t>:</w:t>
      </w:r>
      <w:r w:rsidRPr="001A4D51">
        <w:rPr>
          <w:rFonts w:hint="cs"/>
          <w:sz w:val="24"/>
          <w:szCs w:val="24"/>
          <w:rtl/>
        </w:rPr>
        <w:t xml:space="preserve"> חברה דיאלקטית נוטה להציע דרך אחת, או מספר מצומצם של דרכים  שאם ילך בהן האדם יזכה להערכה חברתית ולמעמד מבוסס (בלשון סוציולוגית, דרכים אלה נקראות "תיוגים אידיאליים"). ממילא יש הנדחים לשוליים (או מוגדרים כ"סוטים"). חברה </w:t>
      </w:r>
      <w:proofErr w:type="spellStart"/>
      <w:r w:rsidRPr="001A4D51">
        <w:rPr>
          <w:rFonts w:hint="cs"/>
          <w:sz w:val="24"/>
          <w:szCs w:val="24"/>
          <w:rtl/>
        </w:rPr>
        <w:t>דיאלוגית</w:t>
      </w:r>
      <w:proofErr w:type="spellEnd"/>
      <w:r w:rsidRPr="001A4D51">
        <w:rPr>
          <w:rFonts w:hint="cs"/>
          <w:sz w:val="24"/>
          <w:szCs w:val="24"/>
          <w:rtl/>
        </w:rPr>
        <w:t xml:space="preserve"> יוצאת מנקודת המוצא של "בכל דרכיך דעהו", ונותנת את ה"תיוג האידיאלי" למגוון רחב מאד של דרכים. באופן עקרוני חברה כזו מאפשרת לכל פרט לבנות לעצמו את התיוג האידיאלי שלו.</w:t>
      </w:r>
    </w:p>
    <w:p w:rsidR="001A4D51" w:rsidRPr="001A4D51" w:rsidRDefault="001A4D51" w:rsidP="001A4D51">
      <w:pPr>
        <w:rPr>
          <w:i/>
          <w:iCs/>
          <w:sz w:val="24"/>
          <w:szCs w:val="24"/>
          <w:rtl/>
        </w:rPr>
      </w:pPr>
      <w:r w:rsidRPr="001A4D51">
        <w:rPr>
          <w:rFonts w:hint="cs"/>
          <w:i/>
          <w:iCs/>
          <w:sz w:val="24"/>
          <w:szCs w:val="24"/>
          <w:rtl/>
        </w:rPr>
        <w:t xml:space="preserve">קיום בסוד הצמצום עמ' 55-57, 87,92-93,97-99,103,247, פסיכולוגיה יהודית וחסידות עמ' </w:t>
      </w:r>
      <w:r>
        <w:rPr>
          <w:rFonts w:hint="cs"/>
          <w:i/>
          <w:iCs/>
          <w:sz w:val="24"/>
          <w:szCs w:val="24"/>
          <w:rtl/>
        </w:rPr>
        <w:t>53.</w:t>
      </w:r>
    </w:p>
    <w:p w:rsidR="001A4D51" w:rsidRPr="001A4D51" w:rsidRDefault="001A4D51" w:rsidP="001A4D51">
      <w:pPr>
        <w:jc w:val="both"/>
        <w:rPr>
          <w:sz w:val="24"/>
          <w:szCs w:val="24"/>
          <w:rtl/>
        </w:rPr>
      </w:pPr>
      <w:r w:rsidRPr="001A4D51">
        <w:rPr>
          <w:rFonts w:hint="cs"/>
          <w:b/>
          <w:bCs/>
          <w:sz w:val="24"/>
          <w:szCs w:val="24"/>
          <w:u w:val="single"/>
          <w:rtl/>
        </w:rPr>
        <w:t>אבחון מכליל</w:t>
      </w:r>
      <w:r w:rsidRPr="001A4D51">
        <w:rPr>
          <w:rFonts w:hint="cs"/>
          <w:b/>
          <w:bCs/>
          <w:sz w:val="24"/>
          <w:szCs w:val="24"/>
          <w:rtl/>
        </w:rPr>
        <w:t>:</w:t>
      </w:r>
      <w:r w:rsidRPr="001A4D51">
        <w:rPr>
          <w:rFonts w:hint="cs"/>
          <w:sz w:val="24"/>
          <w:szCs w:val="24"/>
          <w:rtl/>
        </w:rPr>
        <w:t xml:space="preserve"> במסגרת תפיסת הראי הכפול אפשר להציע גם גישה שונה לשפת האבחון הפסיכיאטרי. מול האבחון המבדיל, הבא להראות את ההבחנה שבין ה"חולה" או ה"סוטה" לבין האדם ה"שפוי" התואם לאידיאל החברתי המקובל, יבוא האבחון המכליל, הבא להראות את הדומה והמשותף שבין המטופל לבין האנשים ה"שפויים" לכאורה, ואת נקודת החיבור שביניהם.  </w:t>
      </w:r>
    </w:p>
    <w:p w:rsidR="001A4D51" w:rsidRPr="001A4D51" w:rsidRDefault="001A4D51" w:rsidP="001A4D51">
      <w:pPr>
        <w:rPr>
          <w:i/>
          <w:iCs/>
          <w:sz w:val="24"/>
          <w:szCs w:val="24"/>
          <w:rtl/>
        </w:rPr>
      </w:pPr>
      <w:r>
        <w:rPr>
          <w:rFonts w:hint="cs"/>
          <w:i/>
          <w:iCs/>
          <w:sz w:val="24"/>
          <w:szCs w:val="24"/>
          <w:rtl/>
        </w:rPr>
        <w:t>קיום בסוד הצמצום עמ' 178-188.</w:t>
      </w:r>
    </w:p>
    <w:p w:rsidR="001A4D51" w:rsidRPr="001A4D51" w:rsidRDefault="001A4D51" w:rsidP="001A4D51">
      <w:pPr>
        <w:jc w:val="both"/>
        <w:rPr>
          <w:sz w:val="24"/>
          <w:szCs w:val="24"/>
          <w:rtl/>
        </w:rPr>
      </w:pPr>
      <w:r w:rsidRPr="001A4D51">
        <w:rPr>
          <w:rFonts w:hint="cs"/>
          <w:b/>
          <w:bCs/>
          <w:sz w:val="24"/>
          <w:szCs w:val="24"/>
          <w:u w:val="single"/>
          <w:rtl/>
        </w:rPr>
        <w:t>ערבים זה בזה</w:t>
      </w:r>
      <w:r w:rsidRPr="001A4D51">
        <w:rPr>
          <w:rFonts w:hint="cs"/>
          <w:b/>
          <w:bCs/>
          <w:sz w:val="24"/>
          <w:szCs w:val="24"/>
          <w:rtl/>
        </w:rPr>
        <w:t>:</w:t>
      </w:r>
      <w:r w:rsidRPr="001A4D51">
        <w:rPr>
          <w:rFonts w:hint="cs"/>
          <w:sz w:val="24"/>
          <w:szCs w:val="24"/>
          <w:rtl/>
        </w:rPr>
        <w:t xml:space="preserve"> החברה כולה אינה מורכבת מיחידים, אגוצנטריים ביסודם, הבונים אותה תוך שיתוף פעולה או מאבק (כמו בתורות "האמנה החברתית" למיניהן), אלא מיחידים המוצאים בה את משמעות חייהם, מגלים את זולתם ומגלים את עצמם ע"י תרומה </w:t>
      </w:r>
      <w:proofErr w:type="spellStart"/>
      <w:r w:rsidRPr="001A4D51">
        <w:rPr>
          <w:rFonts w:hint="cs"/>
          <w:sz w:val="24"/>
          <w:szCs w:val="24"/>
          <w:rtl/>
        </w:rPr>
        <w:t>אלטרצנטרית</w:t>
      </w:r>
      <w:proofErr w:type="spellEnd"/>
      <w:r w:rsidRPr="001A4D51">
        <w:rPr>
          <w:rFonts w:hint="cs"/>
          <w:sz w:val="24"/>
          <w:szCs w:val="24"/>
          <w:rtl/>
        </w:rPr>
        <w:t xml:space="preserve"> לכלל ותחושה עמוקה של אחריות כלפיו: "כל ישראל ערבים זה בזה"</w:t>
      </w:r>
    </w:p>
    <w:p w:rsidR="001A4D51" w:rsidRPr="001A4D51" w:rsidRDefault="001A4D51" w:rsidP="001A4D51">
      <w:pPr>
        <w:rPr>
          <w:i/>
          <w:iCs/>
          <w:sz w:val="24"/>
          <w:szCs w:val="24"/>
          <w:rtl/>
        </w:rPr>
      </w:pPr>
      <w:r w:rsidRPr="001A4D51">
        <w:rPr>
          <w:rFonts w:hint="cs"/>
          <w:i/>
          <w:iCs/>
          <w:sz w:val="24"/>
          <w:szCs w:val="24"/>
          <w:rtl/>
        </w:rPr>
        <w:t>קיום בסוד הצמצום עמ' 56, 140, פסיכולוגיה יהודית וחסידות</w:t>
      </w:r>
      <w:r w:rsidRPr="001A4D51">
        <w:rPr>
          <w:rFonts w:hint="cs"/>
          <w:i/>
          <w:iCs/>
          <w:sz w:val="24"/>
          <w:szCs w:val="24"/>
          <w:rtl/>
        </w:rPr>
        <w:tab/>
        <w:t xml:space="preserve"> עמ' 51.</w:t>
      </w:r>
    </w:p>
    <w:p w:rsidR="001A4D51" w:rsidRPr="001A4D51" w:rsidRDefault="001A4D51" w:rsidP="001A4D51">
      <w:pPr>
        <w:jc w:val="both"/>
        <w:rPr>
          <w:sz w:val="24"/>
          <w:szCs w:val="24"/>
          <w:rtl/>
        </w:rPr>
      </w:pPr>
      <w:r w:rsidRPr="001A4D51">
        <w:rPr>
          <w:rFonts w:hint="cs"/>
          <w:b/>
          <w:bCs/>
          <w:sz w:val="24"/>
          <w:szCs w:val="24"/>
          <w:u w:val="single"/>
          <w:rtl/>
        </w:rPr>
        <w:t>אני ואתה (לעומת אני או אתה)</w:t>
      </w:r>
      <w:r w:rsidRPr="001A4D51">
        <w:rPr>
          <w:rFonts w:hint="cs"/>
          <w:b/>
          <w:bCs/>
          <w:sz w:val="24"/>
          <w:szCs w:val="24"/>
          <w:rtl/>
        </w:rPr>
        <w:t xml:space="preserve"> :</w:t>
      </w:r>
      <w:r w:rsidRPr="001A4D51">
        <w:rPr>
          <w:rFonts w:hint="cs"/>
          <w:sz w:val="24"/>
          <w:szCs w:val="24"/>
          <w:rtl/>
        </w:rPr>
        <w:t xml:space="preserve"> הניגוד שבין דיאלקטיקה </w:t>
      </w:r>
      <w:proofErr w:type="spellStart"/>
      <w:r w:rsidRPr="001A4D51">
        <w:rPr>
          <w:rFonts w:hint="cs"/>
          <w:sz w:val="24"/>
          <w:szCs w:val="24"/>
          <w:rtl/>
        </w:rPr>
        <w:t>לדיאלוגיה</w:t>
      </w:r>
      <w:proofErr w:type="spellEnd"/>
      <w:r w:rsidRPr="001A4D51">
        <w:rPr>
          <w:rFonts w:hint="cs"/>
          <w:sz w:val="24"/>
          <w:szCs w:val="24"/>
          <w:rtl/>
        </w:rPr>
        <w:t xml:space="preserve"> מתבטא ביחסים בין אישיים כניגוד בין גישה של "אני ואתה" (ששניהם חברים במערכת אחת ומקבלים את משמעותם דווקא מן היחס ביניהם) לבין גישה של  "אני או אתה" (כמאבק שבו אחת הישויות אמורה להכריע את זולתה).</w:t>
      </w:r>
    </w:p>
    <w:p w:rsidR="00FE1884" w:rsidRPr="00FE1884" w:rsidRDefault="001A4D51" w:rsidP="00FE1884">
      <w:pPr>
        <w:rPr>
          <w:i/>
          <w:iCs/>
          <w:sz w:val="24"/>
          <w:szCs w:val="24"/>
          <w:rtl/>
        </w:rPr>
      </w:pPr>
      <w:r w:rsidRPr="001A4D51">
        <w:rPr>
          <w:rFonts w:hint="cs"/>
          <w:i/>
          <w:iCs/>
          <w:sz w:val="24"/>
          <w:szCs w:val="24"/>
          <w:rtl/>
        </w:rPr>
        <w:t>קיום בסוד הצמצום עמ' ,159-160,246, 130-135, שבעים פנים לחיים עמ' 117-118,124-125,138.</w:t>
      </w:r>
    </w:p>
    <w:p w:rsidR="00FE1884" w:rsidRPr="00FE1884" w:rsidRDefault="00FE1884" w:rsidP="00FE1884">
      <w:pPr>
        <w:jc w:val="both"/>
        <w:rPr>
          <w:sz w:val="24"/>
          <w:szCs w:val="24"/>
          <w:rtl/>
        </w:rPr>
      </w:pPr>
      <w:r w:rsidRPr="00FE1884">
        <w:rPr>
          <w:rFonts w:hint="cs"/>
          <w:b/>
          <w:bCs/>
          <w:sz w:val="24"/>
          <w:szCs w:val="24"/>
          <w:u w:val="single"/>
          <w:rtl/>
        </w:rPr>
        <w:t>בכל דרכיך דעהו</w:t>
      </w:r>
      <w:r w:rsidRPr="00FE1884">
        <w:rPr>
          <w:rFonts w:hint="cs"/>
          <w:b/>
          <w:bCs/>
          <w:sz w:val="24"/>
          <w:szCs w:val="24"/>
          <w:rtl/>
        </w:rPr>
        <w:t>:</w:t>
      </w:r>
      <w:r w:rsidRPr="00FE1884">
        <w:rPr>
          <w:rFonts w:hint="cs"/>
          <w:sz w:val="24"/>
          <w:szCs w:val="24"/>
          <w:rtl/>
        </w:rPr>
        <w:t xml:space="preserve"> לא רק מסחר ולימוד תורה קיימים במערכת החברתית. כל אדם אמור לפעול מתוך השאיפה לגילוי האור הייחודי שלו (נשמתו) ומתוך כך הוא מגבש לו את דרכו הייחודית בעולם. אין דרך אחת רצויה ואין דרך פסולה בשורשה </w:t>
      </w:r>
      <w:r w:rsidRPr="00FE1884">
        <w:rPr>
          <w:sz w:val="24"/>
          <w:szCs w:val="24"/>
          <w:rtl/>
        </w:rPr>
        <w:t>–</w:t>
      </w:r>
      <w:r w:rsidRPr="00FE1884">
        <w:rPr>
          <w:rFonts w:hint="cs"/>
          <w:sz w:val="24"/>
          <w:szCs w:val="24"/>
          <w:rtl/>
        </w:rPr>
        <w:t xml:space="preserve"> כל הדרכים מביאות לגילוי האור הנשמתי (אם כי יש דרכים שהן הרסניות בפועל-  ויש צורך בהעלאת ניצוצות כדי לגלות את האור הגנוז בהן).</w:t>
      </w:r>
    </w:p>
    <w:p w:rsidR="00FE1884" w:rsidRPr="00FE1884" w:rsidRDefault="00FE1884" w:rsidP="00FE1884">
      <w:pPr>
        <w:rPr>
          <w:i/>
          <w:iCs/>
          <w:sz w:val="24"/>
          <w:szCs w:val="24"/>
          <w:rtl/>
        </w:rPr>
      </w:pPr>
      <w:r w:rsidRPr="00FE1884">
        <w:rPr>
          <w:rFonts w:hint="cs"/>
          <w:i/>
          <w:iCs/>
          <w:sz w:val="24"/>
          <w:szCs w:val="24"/>
          <w:rtl/>
        </w:rPr>
        <w:t>קיום בסוד הצמצום עמ' 57, פסיכולוגיה יהודית וחסידות עמ' 47-49, 53.</w:t>
      </w:r>
    </w:p>
    <w:p w:rsidR="001A4D51" w:rsidRPr="00FE1884" w:rsidRDefault="001A4D51" w:rsidP="001A4D51">
      <w:pPr>
        <w:spacing w:after="0"/>
        <w:jc w:val="center"/>
        <w:rPr>
          <w:rFonts w:cs="David"/>
          <w:b/>
          <w:bCs/>
          <w:sz w:val="24"/>
          <w:szCs w:val="24"/>
          <w:rtl/>
        </w:rPr>
      </w:pPr>
      <w:r w:rsidRPr="00FE1884">
        <w:rPr>
          <w:rFonts w:cs="David" w:hint="eastAsia"/>
          <w:b/>
          <w:bCs/>
          <w:sz w:val="24"/>
          <w:szCs w:val="24"/>
        </w:rPr>
        <w:t>©</w:t>
      </w:r>
      <w:r w:rsidRPr="00FE1884">
        <w:rPr>
          <w:rFonts w:cs="David" w:hint="cs"/>
          <w:b/>
          <w:bCs/>
          <w:sz w:val="24"/>
          <w:szCs w:val="24"/>
          <w:rtl/>
        </w:rPr>
        <w:t xml:space="preserve">כל הזכויות שמורות למכון </w:t>
      </w:r>
      <w:proofErr w:type="gramStart"/>
      <w:r w:rsidRPr="00FE1884">
        <w:rPr>
          <w:rFonts w:cs="David" w:hint="cs"/>
          <w:b/>
          <w:bCs/>
          <w:sz w:val="24"/>
          <w:szCs w:val="24"/>
          <w:rtl/>
        </w:rPr>
        <w:t>רוטנברג  -</w:t>
      </w:r>
      <w:proofErr w:type="gramEnd"/>
      <w:r w:rsidRPr="00FE1884">
        <w:rPr>
          <w:rFonts w:cs="David" w:hint="cs"/>
          <w:b/>
          <w:bCs/>
          <w:sz w:val="24"/>
          <w:szCs w:val="24"/>
          <w:rtl/>
        </w:rPr>
        <w:t xml:space="preserve"> המרכז לפסיכולוגיה יהודית ע"ש בעז רוטנברג ז"ל</w:t>
      </w:r>
    </w:p>
    <w:p w:rsidR="001A4D51" w:rsidRPr="00FE1884" w:rsidRDefault="001A4D51" w:rsidP="001A4D51">
      <w:pPr>
        <w:spacing w:after="0"/>
        <w:jc w:val="center"/>
        <w:rPr>
          <w:rFonts w:cs="David"/>
          <w:b/>
          <w:bCs/>
          <w:sz w:val="24"/>
          <w:szCs w:val="24"/>
          <w:rtl/>
        </w:rPr>
      </w:pPr>
      <w:r w:rsidRPr="00FE1884">
        <w:rPr>
          <w:rFonts w:cs="David" w:hint="cs"/>
          <w:b/>
          <w:bCs/>
          <w:sz w:val="24"/>
          <w:szCs w:val="24"/>
          <w:rtl/>
        </w:rPr>
        <w:t xml:space="preserve">אין להשתמש בחומר שבמקראה זו אלא ברשות מכון רוטנברג </w:t>
      </w:r>
      <w:r w:rsidRPr="00FE1884">
        <w:rPr>
          <w:rFonts w:cs="David"/>
          <w:b/>
          <w:bCs/>
          <w:sz w:val="24"/>
          <w:szCs w:val="24"/>
          <w:rtl/>
        </w:rPr>
        <w:t>–</w:t>
      </w:r>
      <w:r w:rsidRPr="00FE1884">
        <w:rPr>
          <w:rFonts w:cs="David" w:hint="cs"/>
          <w:b/>
          <w:bCs/>
          <w:sz w:val="24"/>
          <w:szCs w:val="24"/>
          <w:rtl/>
        </w:rPr>
        <w:t xml:space="preserve"> המרכז לפסיכולוגיה יהודית</w:t>
      </w:r>
    </w:p>
    <w:p w:rsidR="001A4D51" w:rsidRPr="001A4D51" w:rsidRDefault="001A4D51"/>
    <w:sectPr w:rsidR="001A4D51" w:rsidRPr="001A4D51" w:rsidSect="001A4D51">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D51"/>
    <w:rsid w:val="001A4D51"/>
    <w:rsid w:val="003878EF"/>
    <w:rsid w:val="003905F3"/>
    <w:rsid w:val="00796AA5"/>
    <w:rsid w:val="009F5F1A"/>
    <w:rsid w:val="00EB0E12"/>
    <w:rsid w:val="00F4621D"/>
    <w:rsid w:val="00FE188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A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D5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A4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3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2260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ME</cp:lastModifiedBy>
  <cp:revision>2</cp:revision>
  <dcterms:created xsi:type="dcterms:W3CDTF">2020-01-06T20:47:00Z</dcterms:created>
  <dcterms:modified xsi:type="dcterms:W3CDTF">2020-01-06T20:47:00Z</dcterms:modified>
</cp:coreProperties>
</file>